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D1BAB" w14:textId="77777777" w:rsidR="00B0444D" w:rsidRDefault="00B0444D" w:rsidP="00B0444D">
      <w:pPr>
        <w:jc w:val="center"/>
        <w:rPr>
          <w:b/>
          <w:sz w:val="44"/>
          <w:szCs w:val="44"/>
        </w:rPr>
      </w:pPr>
      <w:r w:rsidRPr="00B0444D">
        <w:rPr>
          <w:b/>
          <w:sz w:val="44"/>
          <w:szCs w:val="44"/>
        </w:rPr>
        <w:t xml:space="preserve">Summary of Public Comment </w:t>
      </w:r>
    </w:p>
    <w:p w14:paraId="776D7071" w14:textId="3489F71B" w:rsidR="00B0444D" w:rsidRDefault="00B0444D" w:rsidP="004D1F79">
      <w:pPr>
        <w:jc w:val="center"/>
        <w:rPr>
          <w:b/>
          <w:sz w:val="36"/>
          <w:szCs w:val="36"/>
        </w:rPr>
      </w:pPr>
      <w:r w:rsidRPr="00B0444D">
        <w:rPr>
          <w:b/>
          <w:sz w:val="36"/>
          <w:szCs w:val="36"/>
        </w:rPr>
        <w:t>Permanent Rules to Implement SB 5991</w:t>
      </w:r>
    </w:p>
    <w:p w14:paraId="19E47A7A" w14:textId="77777777" w:rsidR="007F3F61" w:rsidRPr="004D1F79" w:rsidRDefault="007F3F61" w:rsidP="004D1F79">
      <w:pPr>
        <w:jc w:val="center"/>
        <w:rPr>
          <w:b/>
          <w:sz w:val="36"/>
          <w:szCs w:val="36"/>
        </w:rPr>
      </w:pPr>
    </w:p>
    <w:tbl>
      <w:tblPr>
        <w:tblStyle w:val="TableGrid"/>
        <w:tblW w:w="0" w:type="auto"/>
        <w:tblLook w:val="04A0" w:firstRow="1" w:lastRow="0" w:firstColumn="1" w:lastColumn="0" w:noHBand="0" w:noVBand="1"/>
      </w:tblPr>
      <w:tblGrid>
        <w:gridCol w:w="5215"/>
        <w:gridCol w:w="1511"/>
        <w:gridCol w:w="5599"/>
      </w:tblGrid>
      <w:tr w:rsidR="00B0444D" w14:paraId="4BD67CFA" w14:textId="77777777" w:rsidTr="00CD2C74">
        <w:tc>
          <w:tcPr>
            <w:tcW w:w="5215" w:type="dxa"/>
            <w:shd w:val="clear" w:color="auto" w:fill="D0CECE" w:themeFill="background2" w:themeFillShade="E6"/>
          </w:tcPr>
          <w:p w14:paraId="3C7F8C72" w14:textId="77777777" w:rsidR="00B0444D" w:rsidRDefault="00B0444D" w:rsidP="00B0444D">
            <w:pPr>
              <w:jc w:val="center"/>
            </w:pPr>
            <w:r>
              <w:t>COMMENT</w:t>
            </w:r>
          </w:p>
        </w:tc>
        <w:tc>
          <w:tcPr>
            <w:tcW w:w="1511" w:type="dxa"/>
            <w:shd w:val="clear" w:color="auto" w:fill="D0CECE" w:themeFill="background2" w:themeFillShade="E6"/>
          </w:tcPr>
          <w:p w14:paraId="043BD2C0" w14:textId="77777777" w:rsidR="00B0444D" w:rsidRDefault="00B0444D" w:rsidP="00B0444D">
            <w:pPr>
              <w:jc w:val="center"/>
            </w:pPr>
            <w:r>
              <w:t>STAKEHOLDER</w:t>
            </w:r>
          </w:p>
        </w:tc>
        <w:tc>
          <w:tcPr>
            <w:tcW w:w="5599" w:type="dxa"/>
            <w:shd w:val="clear" w:color="auto" w:fill="D0CECE" w:themeFill="background2" w:themeFillShade="E6"/>
          </w:tcPr>
          <w:p w14:paraId="0610C15B" w14:textId="0697C7A5" w:rsidR="00B0444D" w:rsidRDefault="00903A07" w:rsidP="00B0444D">
            <w:pPr>
              <w:jc w:val="center"/>
            </w:pPr>
            <w:r>
              <w:t>STAFF RESPONSE</w:t>
            </w:r>
          </w:p>
        </w:tc>
      </w:tr>
      <w:tr w:rsidR="00CF775E" w14:paraId="3A1557FA" w14:textId="77777777" w:rsidTr="007F3F61">
        <w:tc>
          <w:tcPr>
            <w:tcW w:w="5215" w:type="dxa"/>
          </w:tcPr>
          <w:p w14:paraId="38D6893D" w14:textId="195BCDF1" w:rsidR="00CF775E" w:rsidRDefault="00CF775E" w:rsidP="00B0444D"/>
          <w:p w14:paraId="71F855CA" w14:textId="2EB03B34" w:rsidR="00CF775E" w:rsidRDefault="00CF775E" w:rsidP="00B0444D">
            <w:r>
              <w:t xml:space="preserve">Restrict </w:t>
            </w:r>
            <w:r w:rsidR="00E43404">
              <w:t xml:space="preserve">the definition of “payments” that are reportable by an incidental committee to </w:t>
            </w:r>
            <w:r w:rsidR="00142CEA">
              <w:t>monetary transfers made with a donative intent.</w:t>
            </w:r>
          </w:p>
          <w:p w14:paraId="34176745" w14:textId="77777777" w:rsidR="00CF775E" w:rsidRDefault="00CF775E" w:rsidP="00B0444D"/>
          <w:p w14:paraId="76731820" w14:textId="309FB3C9" w:rsidR="003A3F57" w:rsidRDefault="003A3F57" w:rsidP="00B0444D">
            <w:r>
              <w:t xml:space="preserve">(See </w:t>
            </w:r>
            <w:r w:rsidR="00E047F7">
              <w:t>comment for full explanation)</w:t>
            </w:r>
            <w:bookmarkStart w:id="0" w:name="_GoBack"/>
            <w:bookmarkEnd w:id="0"/>
          </w:p>
        </w:tc>
        <w:tc>
          <w:tcPr>
            <w:tcW w:w="1511" w:type="dxa"/>
          </w:tcPr>
          <w:p w14:paraId="03FCF891" w14:textId="77777777" w:rsidR="00CF775E" w:rsidRDefault="00CF775E"/>
          <w:p w14:paraId="3871687B" w14:textId="1AD895E4" w:rsidR="00903A07" w:rsidRDefault="00903A07">
            <w:r w:rsidRPr="00903A07">
              <w:t xml:space="preserve">Barnard Iglitzin &amp; </w:t>
            </w:r>
            <w:proofErr w:type="spellStart"/>
            <w:r w:rsidRPr="00903A07">
              <w:t>Lavitt</w:t>
            </w:r>
            <w:proofErr w:type="spellEnd"/>
            <w:r w:rsidRPr="00903A07">
              <w:t xml:space="preserve"> LLP</w:t>
            </w:r>
          </w:p>
        </w:tc>
        <w:tc>
          <w:tcPr>
            <w:tcW w:w="5599" w:type="dxa"/>
          </w:tcPr>
          <w:p w14:paraId="47AF03FB" w14:textId="77777777" w:rsidR="00CF775E" w:rsidRDefault="00CF775E"/>
          <w:p w14:paraId="2A14B08D" w14:textId="5A847CB6" w:rsidR="00142CEA" w:rsidRDefault="006116D7">
            <w:r>
              <w:t>The emergency rules provide tha</w:t>
            </w:r>
            <w:r w:rsidR="003C7A70">
              <w:t xml:space="preserve">t payments are reportable regardless of donative intent.  </w:t>
            </w:r>
            <w:r w:rsidR="00EC3741">
              <w:t>T</w:t>
            </w:r>
            <w:r w:rsidR="003C7A70">
              <w:t xml:space="preserve">he term </w:t>
            </w:r>
            <w:r w:rsidR="00A96B16">
              <w:t>i</w:t>
            </w:r>
            <w:r w:rsidR="003C7A70">
              <w:t>s not defined in statute,</w:t>
            </w:r>
            <w:r w:rsidR="00EC3741" w:rsidRPr="00EC3741">
              <w:t xml:space="preserve"> </w:t>
            </w:r>
            <w:r w:rsidR="00EC3741">
              <w:t>and therefore</w:t>
            </w:r>
            <w:r w:rsidR="00EC3741" w:rsidRPr="00EC3741">
              <w:t xml:space="preserve"> generally refers to any source of income</w:t>
            </w:r>
            <w:r w:rsidR="00180146">
              <w:t>, without qualification</w:t>
            </w:r>
            <w:r w:rsidR="004675A5">
              <w:t xml:space="preserve"> that </w:t>
            </w:r>
            <w:r w:rsidR="004E3974">
              <w:t xml:space="preserve">it </w:t>
            </w:r>
            <w:r w:rsidR="003A3F57">
              <w:t xml:space="preserve">should </w:t>
            </w:r>
            <w:r w:rsidR="004E3974">
              <w:t>be</w:t>
            </w:r>
            <w:r w:rsidR="00FA65F9">
              <w:t xml:space="preserve"> limited by </w:t>
            </w:r>
            <w:r w:rsidR="000B4DD9">
              <w:t xml:space="preserve">the </w:t>
            </w:r>
            <w:r w:rsidR="00FA65F9">
              <w:t>intent</w:t>
            </w:r>
            <w:r w:rsidR="000B4DD9">
              <w:t xml:space="preserve"> of the person making </w:t>
            </w:r>
            <w:r w:rsidR="004E3974">
              <w:t xml:space="preserve">the </w:t>
            </w:r>
            <w:r w:rsidR="000B4DD9">
              <w:t xml:space="preserve">payment.  </w:t>
            </w:r>
            <w:r w:rsidR="00FA65F9">
              <w:t xml:space="preserve">  </w:t>
            </w:r>
          </w:p>
          <w:p w14:paraId="71C1FD0A" w14:textId="64C9BAEB" w:rsidR="00662A04" w:rsidRDefault="00662A04"/>
        </w:tc>
      </w:tr>
      <w:tr w:rsidR="00B0444D" w14:paraId="4A547AC7" w14:textId="77777777" w:rsidTr="007F3F61">
        <w:tc>
          <w:tcPr>
            <w:tcW w:w="5215" w:type="dxa"/>
          </w:tcPr>
          <w:p w14:paraId="7E855025" w14:textId="77777777" w:rsidR="00B0444D" w:rsidRDefault="00B0444D" w:rsidP="00B0444D"/>
          <w:p w14:paraId="5B6086AA" w14:textId="77777777" w:rsidR="00B0444D" w:rsidRPr="00B0444D" w:rsidRDefault="00B0444D" w:rsidP="00B0444D">
            <w:r w:rsidRPr="00B0444D">
              <w:t xml:space="preserve">Clarify whether </w:t>
            </w:r>
            <w:r>
              <w:t>contributions</w:t>
            </w:r>
            <w:r w:rsidRPr="00B0444D">
              <w:t xml:space="preserve"> to out-of-state PACs by a non-profit organization are included for purposes of an incidental committee’s required registration and reporting.  </w:t>
            </w:r>
          </w:p>
          <w:p w14:paraId="211AFEE7" w14:textId="77777777" w:rsidR="00B0444D" w:rsidRDefault="00B0444D"/>
        </w:tc>
        <w:tc>
          <w:tcPr>
            <w:tcW w:w="1511" w:type="dxa"/>
          </w:tcPr>
          <w:p w14:paraId="23B1A0E9" w14:textId="77777777" w:rsidR="00B0444D" w:rsidRDefault="00B0444D"/>
          <w:p w14:paraId="7076DEF0" w14:textId="77777777" w:rsidR="00B0444D" w:rsidRDefault="00B0444D">
            <w:r w:rsidRPr="00B0444D">
              <w:t xml:space="preserve">Barnard Iglitzin &amp; </w:t>
            </w:r>
            <w:proofErr w:type="spellStart"/>
            <w:r w:rsidRPr="00B0444D">
              <w:t>Lavitt</w:t>
            </w:r>
            <w:proofErr w:type="spellEnd"/>
            <w:r w:rsidRPr="00B0444D">
              <w:t xml:space="preserve"> LLP</w:t>
            </w:r>
            <w:r w:rsidRPr="00B0444D">
              <w:br/>
            </w:r>
          </w:p>
        </w:tc>
        <w:tc>
          <w:tcPr>
            <w:tcW w:w="5599" w:type="dxa"/>
          </w:tcPr>
          <w:p w14:paraId="1B53844B" w14:textId="77777777" w:rsidR="00B0444D" w:rsidRDefault="00B0444D"/>
          <w:p w14:paraId="6E06E252" w14:textId="7ED02E45" w:rsidR="00B0444D" w:rsidRDefault="00B0444D">
            <w:r>
              <w:t xml:space="preserve">The law does not expressly include contributions to “out-of-state” committees for purposes of qualifying as an incidental committee.  The exclusion </w:t>
            </w:r>
            <w:r w:rsidR="004D1F79">
              <w:t>c</w:t>
            </w:r>
            <w:r>
              <w:t>ould be included in the rules for clarity.</w:t>
            </w:r>
          </w:p>
          <w:p w14:paraId="19256305" w14:textId="77777777" w:rsidR="00B0444D" w:rsidRDefault="00B0444D">
            <w:r>
              <w:t xml:space="preserve">   </w:t>
            </w:r>
          </w:p>
        </w:tc>
      </w:tr>
      <w:tr w:rsidR="00B0444D" w14:paraId="644878E0" w14:textId="77777777" w:rsidTr="007F3F61">
        <w:tc>
          <w:tcPr>
            <w:tcW w:w="5215" w:type="dxa"/>
          </w:tcPr>
          <w:p w14:paraId="25F6F478" w14:textId="77777777" w:rsidR="00B0444D" w:rsidRDefault="00B0444D"/>
          <w:p w14:paraId="0E0D60B6" w14:textId="77777777" w:rsidR="00B0444D" w:rsidRDefault="00B0444D">
            <w:r>
              <w:t xml:space="preserve">Clarify </w:t>
            </w:r>
            <w:r w:rsidRPr="00B0444D">
              <w:t>whether a</w:t>
            </w:r>
            <w:r>
              <w:t xml:space="preserve">n </w:t>
            </w:r>
            <w:r w:rsidRPr="00B0444D">
              <w:t xml:space="preserve">entity that sponsors a political committee is, </w:t>
            </w:r>
            <w:proofErr w:type="gramStart"/>
            <w:r w:rsidRPr="00B0444D">
              <w:t>by virtue of</w:t>
            </w:r>
            <w:proofErr w:type="gramEnd"/>
            <w:r w:rsidRPr="00B0444D">
              <w:t xml:space="preserve"> such sponsorship status alone, responsible for the expenditures made by that PAC, for purposes of determining whether that entity is an incidental committee. </w:t>
            </w:r>
          </w:p>
          <w:p w14:paraId="3243D3AD" w14:textId="77777777" w:rsidR="00B0444D" w:rsidRDefault="00B0444D"/>
        </w:tc>
        <w:tc>
          <w:tcPr>
            <w:tcW w:w="1511" w:type="dxa"/>
          </w:tcPr>
          <w:p w14:paraId="6F1C581B" w14:textId="77777777" w:rsidR="00B0444D" w:rsidRDefault="00B0444D"/>
          <w:p w14:paraId="2D6CEFDB" w14:textId="77777777" w:rsidR="00B0444D" w:rsidRDefault="00B0444D">
            <w:r w:rsidRPr="00B0444D">
              <w:t xml:space="preserve">Barnard Iglitzin &amp; </w:t>
            </w:r>
            <w:proofErr w:type="spellStart"/>
            <w:r w:rsidRPr="00B0444D">
              <w:t>Lavitt</w:t>
            </w:r>
            <w:proofErr w:type="spellEnd"/>
            <w:r w:rsidRPr="00B0444D">
              <w:t xml:space="preserve"> LLP</w:t>
            </w:r>
            <w:r w:rsidRPr="00B0444D">
              <w:br/>
            </w:r>
          </w:p>
        </w:tc>
        <w:tc>
          <w:tcPr>
            <w:tcW w:w="5599" w:type="dxa"/>
          </w:tcPr>
          <w:p w14:paraId="473A7BB3" w14:textId="77777777" w:rsidR="00B0444D" w:rsidRDefault="00B0444D"/>
          <w:p w14:paraId="29A86562" w14:textId="77777777" w:rsidR="00B0444D" w:rsidRDefault="00B0444D">
            <w:r>
              <w:t xml:space="preserve"> The law requires a non-profit to register as an incidental committee if it has the expectation of making contributions or expenditures of at least $25,000 in a campaign or “to a political committee.”  There is no exception for a non-profit that sponsors and contributes to its own PAC.  </w:t>
            </w:r>
          </w:p>
          <w:p w14:paraId="3C4634E5" w14:textId="77777777" w:rsidR="00B0444D" w:rsidRDefault="00B0444D"/>
          <w:p w14:paraId="6C681C4A" w14:textId="77777777" w:rsidR="00B0444D" w:rsidRDefault="00B0444D">
            <w:r>
              <w:t>No clarification is warranted in rule.</w:t>
            </w:r>
          </w:p>
          <w:p w14:paraId="3D8B75F6" w14:textId="29EA2BA7" w:rsidR="00B0444D" w:rsidRDefault="00B0444D"/>
          <w:p w14:paraId="17997AA4" w14:textId="77777777" w:rsidR="00CD2C74" w:rsidRDefault="00CD2C74"/>
          <w:p w14:paraId="711240AF" w14:textId="0B830CB7" w:rsidR="0085224C" w:rsidRDefault="0085224C"/>
        </w:tc>
      </w:tr>
      <w:tr w:rsidR="00B0444D" w14:paraId="2690C2DC" w14:textId="77777777" w:rsidTr="007F3F61">
        <w:tc>
          <w:tcPr>
            <w:tcW w:w="5215" w:type="dxa"/>
          </w:tcPr>
          <w:p w14:paraId="4B521A97" w14:textId="77777777" w:rsidR="00B0444D" w:rsidRDefault="00B0444D"/>
          <w:p w14:paraId="27D2FE4E" w14:textId="77777777" w:rsidR="00B0444D" w:rsidRDefault="00B0444D">
            <w:r>
              <w:t>Clarify whether a</w:t>
            </w:r>
            <w:r w:rsidRPr="00B0444D">
              <w:t xml:space="preserve"> not-for-profit organization receiving a check for the aggregated dues or membership payments from a third party would not need to report that receipt of membership dues, under RCW 42.17A.240(2)(c), because the money received would constitute an aggregated payment, so long as the check did not include more than $10,000 from any single person. </w:t>
            </w:r>
          </w:p>
          <w:p w14:paraId="6472BBF1" w14:textId="77777777" w:rsidR="00B0444D" w:rsidRDefault="00B0444D"/>
        </w:tc>
        <w:tc>
          <w:tcPr>
            <w:tcW w:w="1511" w:type="dxa"/>
          </w:tcPr>
          <w:p w14:paraId="20A102F1" w14:textId="77777777" w:rsidR="00B0444D" w:rsidRDefault="00B0444D"/>
          <w:p w14:paraId="5BFA8ABA" w14:textId="77777777" w:rsidR="00B0444D" w:rsidRDefault="00B0444D">
            <w:r w:rsidRPr="00B0444D">
              <w:t xml:space="preserve">Barnard Iglitzin &amp; </w:t>
            </w:r>
            <w:proofErr w:type="spellStart"/>
            <w:r w:rsidRPr="00B0444D">
              <w:t>Lavitt</w:t>
            </w:r>
            <w:proofErr w:type="spellEnd"/>
            <w:r w:rsidRPr="00B0444D">
              <w:t xml:space="preserve"> LLP</w:t>
            </w:r>
            <w:r w:rsidRPr="00B0444D">
              <w:br/>
            </w:r>
          </w:p>
        </w:tc>
        <w:tc>
          <w:tcPr>
            <w:tcW w:w="5599" w:type="dxa"/>
          </w:tcPr>
          <w:p w14:paraId="35A8DDBC" w14:textId="77777777" w:rsidR="00B0444D" w:rsidRDefault="00B0444D"/>
          <w:p w14:paraId="2A4F38CF" w14:textId="77777777" w:rsidR="00B0444D" w:rsidRDefault="00B0444D">
            <w:r>
              <w:t xml:space="preserve">The law expressly provides that payments received in aggregated form are not reportable, but any single payment of $10,000 or more within such aggregation must be reported.  </w:t>
            </w:r>
          </w:p>
          <w:p w14:paraId="3C4329ED" w14:textId="77777777" w:rsidR="00B0444D" w:rsidRDefault="00B0444D"/>
          <w:p w14:paraId="77AC42EF" w14:textId="77777777" w:rsidR="00B0444D" w:rsidRDefault="00B0444D">
            <w:r>
              <w:t>No clarification is warranted in rule.</w:t>
            </w:r>
          </w:p>
        </w:tc>
      </w:tr>
      <w:tr w:rsidR="00B0444D" w14:paraId="7DB9F2BC" w14:textId="77777777" w:rsidTr="007F3F61">
        <w:tc>
          <w:tcPr>
            <w:tcW w:w="5215" w:type="dxa"/>
          </w:tcPr>
          <w:p w14:paraId="1A904B77" w14:textId="77777777" w:rsidR="00B0444D" w:rsidRDefault="00B0444D"/>
          <w:p w14:paraId="2CABCA08" w14:textId="77777777" w:rsidR="00B0444D" w:rsidRPr="00B0444D" w:rsidRDefault="00B0444D" w:rsidP="00B0444D">
            <w:r>
              <w:t>Clarify whether a</w:t>
            </w:r>
            <w:r w:rsidRPr="00B0444D">
              <w:t xml:space="preserve"> not-for-profit organization receiving a check for the aggregated dues, membership, or “per capita” payments from an intermediate or local body that has collected those funds from its members would not need to report that receipt of membership dues as a payment received from the local or intermediate body, under RCW 42.17A.240(2)(c), because the money received would constitute an aggregated payment of moneys paid by the membership itself.  </w:t>
            </w:r>
          </w:p>
          <w:p w14:paraId="5572586A" w14:textId="77777777" w:rsidR="00B0444D" w:rsidRDefault="00B0444D"/>
          <w:p w14:paraId="1EB6CD9A" w14:textId="77777777" w:rsidR="00B0444D" w:rsidRDefault="00B0444D"/>
        </w:tc>
        <w:tc>
          <w:tcPr>
            <w:tcW w:w="1511" w:type="dxa"/>
          </w:tcPr>
          <w:p w14:paraId="65FA406B" w14:textId="77777777" w:rsidR="00B0444D" w:rsidRDefault="00B0444D"/>
          <w:p w14:paraId="4C8640E8" w14:textId="77777777" w:rsidR="00B0444D" w:rsidRDefault="00B0444D">
            <w:r w:rsidRPr="00B0444D">
              <w:t xml:space="preserve">Barnard Iglitzin &amp; </w:t>
            </w:r>
            <w:proofErr w:type="spellStart"/>
            <w:r w:rsidRPr="00B0444D">
              <w:t>Lavitt</w:t>
            </w:r>
            <w:proofErr w:type="spellEnd"/>
            <w:r w:rsidRPr="00B0444D">
              <w:t xml:space="preserve"> LLP</w:t>
            </w:r>
            <w:r w:rsidRPr="00B0444D">
              <w:br/>
            </w:r>
          </w:p>
        </w:tc>
        <w:tc>
          <w:tcPr>
            <w:tcW w:w="5599" w:type="dxa"/>
          </w:tcPr>
          <w:p w14:paraId="5574DDAB" w14:textId="77777777" w:rsidR="00B0444D" w:rsidRDefault="00B0444D"/>
          <w:p w14:paraId="7F68DDB5" w14:textId="77777777" w:rsidR="00B0444D" w:rsidRDefault="00B0444D">
            <w:r>
              <w:t xml:space="preserve">Dues collected and remitted to an organization by an intermediary would constitute payments received in aggregated </w:t>
            </w:r>
            <w:proofErr w:type="gramStart"/>
            <w:r>
              <w:t>form, and</w:t>
            </w:r>
            <w:proofErr w:type="gramEnd"/>
            <w:r>
              <w:t xml:space="preserve"> are not reportable.  </w:t>
            </w:r>
          </w:p>
          <w:p w14:paraId="750E5ADE" w14:textId="77777777" w:rsidR="00B0444D" w:rsidRDefault="00B0444D"/>
          <w:p w14:paraId="42C0E910" w14:textId="77777777" w:rsidR="00B0444D" w:rsidRDefault="00B0444D">
            <w:r w:rsidRPr="00B0444D">
              <w:t>No clarification is warranted in rule.</w:t>
            </w:r>
          </w:p>
        </w:tc>
      </w:tr>
      <w:tr w:rsidR="00B0444D" w14:paraId="4C03D854" w14:textId="77777777" w:rsidTr="007F3F61">
        <w:tc>
          <w:tcPr>
            <w:tcW w:w="5215" w:type="dxa"/>
          </w:tcPr>
          <w:p w14:paraId="61A21406" w14:textId="77777777" w:rsidR="00B0444D" w:rsidRDefault="00B0444D"/>
          <w:p w14:paraId="21E72297" w14:textId="09688993" w:rsidR="00B0444D" w:rsidRDefault="00AF06A9">
            <w:r>
              <w:t xml:space="preserve">Clarify that the dissolution process for incidental committees is </w:t>
            </w:r>
            <w:r w:rsidR="005769A0">
              <w:t>only for PDC purposes</w:t>
            </w:r>
            <w:r w:rsidR="00F31131">
              <w:t xml:space="preserve">, and not a dissolution of the underlying organization itself.  </w:t>
            </w:r>
          </w:p>
          <w:p w14:paraId="3B26D0B9" w14:textId="77777777" w:rsidR="00B0444D" w:rsidRDefault="00B0444D"/>
        </w:tc>
        <w:tc>
          <w:tcPr>
            <w:tcW w:w="1511" w:type="dxa"/>
          </w:tcPr>
          <w:p w14:paraId="6B10082A" w14:textId="77777777" w:rsidR="00B0444D" w:rsidRDefault="00B0444D"/>
          <w:p w14:paraId="5B222930" w14:textId="52D08CF5" w:rsidR="00EE2F56" w:rsidRDefault="00EE2F56">
            <w:r>
              <w:t>Washington  Nonprofits</w:t>
            </w:r>
          </w:p>
        </w:tc>
        <w:tc>
          <w:tcPr>
            <w:tcW w:w="5599" w:type="dxa"/>
          </w:tcPr>
          <w:p w14:paraId="66DCDE2F" w14:textId="77777777" w:rsidR="00B0444D" w:rsidRDefault="00B0444D"/>
          <w:p w14:paraId="48930A6D" w14:textId="298BAF9E" w:rsidR="00F31131" w:rsidRDefault="00F31131">
            <w:r>
              <w:t xml:space="preserve">This </w:t>
            </w:r>
            <w:r w:rsidR="007674F0">
              <w:t xml:space="preserve">understanding is stated in the </w:t>
            </w:r>
            <w:r w:rsidR="00060300">
              <w:t>P</w:t>
            </w:r>
            <w:r w:rsidR="007674F0">
              <w:t xml:space="preserve">DC guidance. </w:t>
            </w:r>
          </w:p>
        </w:tc>
      </w:tr>
      <w:tr w:rsidR="00B0444D" w14:paraId="0083C116" w14:textId="77777777" w:rsidTr="007F3F61">
        <w:tc>
          <w:tcPr>
            <w:tcW w:w="5215" w:type="dxa"/>
          </w:tcPr>
          <w:p w14:paraId="64658566" w14:textId="32F78ABE" w:rsidR="00877A40" w:rsidRDefault="00877A40"/>
          <w:p w14:paraId="5D925CCF" w14:textId="4E670993" w:rsidR="00877A40" w:rsidRDefault="00877A40">
            <w:r>
              <w:t xml:space="preserve">Several recommendations regarding the </w:t>
            </w:r>
            <w:r w:rsidR="00EE2F56">
              <w:t>new I-C and C8 forms</w:t>
            </w:r>
            <w:r w:rsidR="003511EC">
              <w:t xml:space="preserve"> and the PDC interpretation on SB 5991</w:t>
            </w:r>
          </w:p>
          <w:p w14:paraId="4A8EFB76" w14:textId="1348A16D" w:rsidR="00877A40" w:rsidRDefault="00877A40"/>
        </w:tc>
        <w:tc>
          <w:tcPr>
            <w:tcW w:w="1511" w:type="dxa"/>
          </w:tcPr>
          <w:p w14:paraId="294B7E7B" w14:textId="77777777" w:rsidR="00EE2F56" w:rsidRDefault="00EE2F56"/>
          <w:p w14:paraId="6A51BBC0" w14:textId="24534359" w:rsidR="00B0444D" w:rsidRDefault="00EE2F56">
            <w:r w:rsidRPr="00EE2F56">
              <w:t>Washington  Nonprofits</w:t>
            </w:r>
          </w:p>
        </w:tc>
        <w:tc>
          <w:tcPr>
            <w:tcW w:w="5599" w:type="dxa"/>
          </w:tcPr>
          <w:p w14:paraId="79E13F25" w14:textId="77777777" w:rsidR="00B0444D" w:rsidRDefault="00B0444D"/>
          <w:p w14:paraId="321B620B" w14:textId="77777777" w:rsidR="00AD5D49" w:rsidRDefault="003A0AD1">
            <w:r>
              <w:t xml:space="preserve">These items do not affect rulemaking and will be </w:t>
            </w:r>
            <w:r w:rsidR="00AD5D49">
              <w:t xml:space="preserve">taken under consideration for amending the forms and interpretations. </w:t>
            </w:r>
          </w:p>
          <w:p w14:paraId="5C9CA571" w14:textId="28DC9A62" w:rsidR="00AD5D49" w:rsidRDefault="00AD5D49"/>
        </w:tc>
      </w:tr>
    </w:tbl>
    <w:p w14:paraId="2069A963" w14:textId="6A2EBB30" w:rsidR="00B0444D" w:rsidRDefault="00B0444D">
      <w:r>
        <w:tab/>
        <w:t xml:space="preserve"> </w:t>
      </w:r>
    </w:p>
    <w:sectPr w:rsidR="00B0444D" w:rsidSect="0085224C">
      <w:headerReference w:type="default" r:id="rId6"/>
      <w:headerReference w:type="firs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5B088" w14:textId="77777777" w:rsidR="00CA3E44" w:rsidRDefault="00CA3E44" w:rsidP="00C1087C">
      <w:pPr>
        <w:spacing w:after="0" w:line="240" w:lineRule="auto"/>
      </w:pPr>
      <w:r>
        <w:separator/>
      </w:r>
    </w:p>
  </w:endnote>
  <w:endnote w:type="continuationSeparator" w:id="0">
    <w:p w14:paraId="635190B0" w14:textId="77777777" w:rsidR="00CA3E44" w:rsidRDefault="00CA3E44" w:rsidP="00C1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EAC4" w14:textId="77777777" w:rsidR="00CA3E44" w:rsidRDefault="00CA3E44" w:rsidP="00C1087C">
      <w:pPr>
        <w:spacing w:after="0" w:line="240" w:lineRule="auto"/>
      </w:pPr>
      <w:r>
        <w:separator/>
      </w:r>
    </w:p>
  </w:footnote>
  <w:footnote w:type="continuationSeparator" w:id="0">
    <w:p w14:paraId="6B3FB9F4" w14:textId="77777777" w:rsidR="00CA3E44" w:rsidRDefault="00CA3E44" w:rsidP="00C1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D110" w14:textId="49DDA4B4" w:rsidR="00C1087C" w:rsidRDefault="00C1087C" w:rsidP="00C1087C">
    <w:pPr>
      <w:pStyle w:val="Header"/>
      <w:jc w:val="right"/>
    </w:pPr>
    <w:bookmarkStart w:id="1" w:name="_Hlk2178551"/>
    <w:bookmarkStart w:id="2" w:name="_Hlk2178552"/>
    <w:bookmarkStart w:id="3" w:name="_Hlk2178554"/>
    <w:bookmarkStart w:id="4" w:name="_Hlk2178555"/>
    <w:r>
      <w:t>PDC Meeting</w:t>
    </w:r>
  </w:p>
  <w:p w14:paraId="4F5A7361" w14:textId="1FA2B01B" w:rsidR="0022781B" w:rsidRDefault="0022781B" w:rsidP="00C1087C">
    <w:pPr>
      <w:pStyle w:val="Header"/>
      <w:jc w:val="right"/>
    </w:pPr>
    <w:r>
      <w:t>Page 2 of 2</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48CF" w14:textId="77777777" w:rsidR="0085224C" w:rsidRDefault="0085224C" w:rsidP="0085224C">
    <w:pPr>
      <w:pStyle w:val="Header"/>
      <w:jc w:val="right"/>
    </w:pPr>
    <w:r>
      <w:tab/>
    </w:r>
    <w:r>
      <w:t>PDC Commission Meeting</w:t>
    </w:r>
  </w:p>
  <w:p w14:paraId="6034EB63" w14:textId="77777777" w:rsidR="0085224C" w:rsidRDefault="0085224C" w:rsidP="0085224C">
    <w:pPr>
      <w:pStyle w:val="Header"/>
      <w:jc w:val="right"/>
    </w:pPr>
    <w:r>
      <w:t>February 28, 2019</w:t>
    </w:r>
  </w:p>
  <w:p w14:paraId="69372C06" w14:textId="28F493FA" w:rsidR="0085224C" w:rsidRDefault="0085224C" w:rsidP="0085224C">
    <w:pPr>
      <w:pStyle w:val="Header"/>
      <w:jc w:val="right"/>
    </w:pPr>
    <w:r>
      <w:t xml:space="preserve">Page </w:t>
    </w:r>
    <w:r>
      <w:t>1</w:t>
    </w:r>
    <w:r>
      <w:t xml:space="preserve"> of 2</w:t>
    </w:r>
  </w:p>
  <w:p w14:paraId="5B22876F" w14:textId="7E2607EC" w:rsidR="0022781B" w:rsidRDefault="0022781B" w:rsidP="0085224C">
    <w:pPr>
      <w:pStyle w:val="Header"/>
      <w:tabs>
        <w:tab w:val="clear" w:pos="4680"/>
        <w:tab w:val="clear" w:pos="9360"/>
        <w:tab w:val="left" w:pos="110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4D"/>
    <w:rsid w:val="00060300"/>
    <w:rsid w:val="000B4DD9"/>
    <w:rsid w:val="001061DE"/>
    <w:rsid w:val="00142CEA"/>
    <w:rsid w:val="001719A4"/>
    <w:rsid w:val="00180146"/>
    <w:rsid w:val="0022781B"/>
    <w:rsid w:val="002D2CF0"/>
    <w:rsid w:val="003511EC"/>
    <w:rsid w:val="003A0AD1"/>
    <w:rsid w:val="003A3F57"/>
    <w:rsid w:val="003C7A70"/>
    <w:rsid w:val="004675A5"/>
    <w:rsid w:val="00495CF6"/>
    <w:rsid w:val="004D1F79"/>
    <w:rsid w:val="004E3974"/>
    <w:rsid w:val="005769A0"/>
    <w:rsid w:val="006116D7"/>
    <w:rsid w:val="00623722"/>
    <w:rsid w:val="00662A04"/>
    <w:rsid w:val="007674F0"/>
    <w:rsid w:val="007F3F61"/>
    <w:rsid w:val="0085224C"/>
    <w:rsid w:val="00874FDF"/>
    <w:rsid w:val="00877A40"/>
    <w:rsid w:val="00903A07"/>
    <w:rsid w:val="00A96B16"/>
    <w:rsid w:val="00AD5D49"/>
    <w:rsid w:val="00AF06A9"/>
    <w:rsid w:val="00B0444D"/>
    <w:rsid w:val="00C1087C"/>
    <w:rsid w:val="00CA3E44"/>
    <w:rsid w:val="00CD2C74"/>
    <w:rsid w:val="00CF775E"/>
    <w:rsid w:val="00E047F7"/>
    <w:rsid w:val="00E43404"/>
    <w:rsid w:val="00EC3741"/>
    <w:rsid w:val="00EE2F56"/>
    <w:rsid w:val="00F31131"/>
    <w:rsid w:val="00FA65F9"/>
    <w:rsid w:val="00FE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0A2"/>
  <w15:chartTrackingRefBased/>
  <w15:docId w15:val="{4E07A51E-DCCA-4D5D-A970-AA10B6DA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7C"/>
  </w:style>
  <w:style w:type="paragraph" w:styleId="Footer">
    <w:name w:val="footer"/>
    <w:basedOn w:val="Normal"/>
    <w:link w:val="FooterChar"/>
    <w:uiPriority w:val="99"/>
    <w:unhideWhenUsed/>
    <w:rsid w:val="00C10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dc:creator>
  <cp:keywords/>
  <dc:description/>
  <cp:lastModifiedBy>PDC</cp:lastModifiedBy>
  <cp:revision>9</cp:revision>
  <dcterms:created xsi:type="dcterms:W3CDTF">2019-02-28T00:45:00Z</dcterms:created>
  <dcterms:modified xsi:type="dcterms:W3CDTF">2019-02-28T00:53:00Z</dcterms:modified>
</cp:coreProperties>
</file>